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3F7A4" w14:textId="08483EE0" w:rsidR="00920AF2" w:rsidRPr="005B5FA4" w:rsidRDefault="00920AF2" w:rsidP="00920AF2">
      <w:pPr>
        <w:rPr>
          <w:rFonts w:ascii="Arial" w:hAnsi="Arial" w:cs="Arial"/>
          <w:b/>
          <w:bCs/>
          <w:lang w:val="en-US"/>
        </w:rPr>
      </w:pPr>
      <w:r w:rsidRPr="005B5FA4">
        <w:rPr>
          <w:rFonts w:ascii="Arial" w:hAnsi="Arial" w:cs="Arial"/>
          <w:b/>
          <w:bCs/>
          <w:lang w:val="en-US"/>
        </w:rPr>
        <w:t xml:space="preserve">ADONIS </w:t>
      </w:r>
      <w:r w:rsidR="00B3656B" w:rsidRPr="005B5FA4">
        <w:rPr>
          <w:rFonts w:ascii="Arial" w:hAnsi="Arial" w:cs="Arial"/>
          <w:b/>
          <w:bCs/>
          <w:lang w:val="en-US"/>
        </w:rPr>
        <w:t>static white</w:t>
      </w:r>
      <w:r w:rsidRPr="005B5FA4">
        <w:rPr>
          <w:rFonts w:ascii="Arial" w:hAnsi="Arial" w:cs="Arial"/>
          <w:b/>
          <w:bCs/>
          <w:lang w:val="en-US"/>
        </w:rPr>
        <w:t xml:space="preserve">, </w:t>
      </w:r>
      <w:r w:rsidR="00B3656B" w:rsidRPr="005B5FA4">
        <w:rPr>
          <w:rFonts w:ascii="Arial" w:hAnsi="Arial" w:cs="Arial"/>
          <w:b/>
          <w:bCs/>
          <w:lang w:val="en-US"/>
        </w:rPr>
        <w:t>tunable white</w:t>
      </w:r>
      <w:r w:rsidRPr="005B5FA4">
        <w:rPr>
          <w:rFonts w:ascii="Arial" w:hAnsi="Arial" w:cs="Arial"/>
          <w:b/>
          <w:bCs/>
          <w:lang w:val="en-US"/>
        </w:rPr>
        <w:t>, RGB</w:t>
      </w:r>
      <w:r w:rsidR="00F35ABF" w:rsidRPr="005B5FA4">
        <w:rPr>
          <w:rFonts w:ascii="Arial" w:hAnsi="Arial" w:cs="Arial"/>
          <w:b/>
          <w:bCs/>
          <w:lang w:val="en-US"/>
        </w:rPr>
        <w:t xml:space="preserve"> </w:t>
      </w:r>
      <w:r w:rsidR="00B3656B" w:rsidRPr="005B5FA4">
        <w:rPr>
          <w:rFonts w:ascii="Arial" w:hAnsi="Arial" w:cs="Arial"/>
          <w:b/>
          <w:bCs/>
          <w:lang w:val="en-US"/>
        </w:rPr>
        <w:t>and</w:t>
      </w:r>
      <w:r w:rsidR="00F35ABF" w:rsidRPr="005B5FA4">
        <w:rPr>
          <w:rFonts w:ascii="Arial" w:hAnsi="Arial" w:cs="Arial"/>
          <w:b/>
          <w:bCs/>
          <w:lang w:val="en-US"/>
        </w:rPr>
        <w:t xml:space="preserve"> </w:t>
      </w:r>
      <w:r w:rsidRPr="005B5FA4">
        <w:rPr>
          <w:rFonts w:ascii="Arial" w:hAnsi="Arial" w:cs="Arial"/>
          <w:b/>
          <w:bCs/>
          <w:lang w:val="en-US"/>
        </w:rPr>
        <w:t xml:space="preserve">RGBW </w:t>
      </w:r>
    </w:p>
    <w:p w14:paraId="2ED60900" w14:textId="4CB291AC" w:rsidR="005B5FA4" w:rsidRPr="005B5FA4" w:rsidRDefault="005B5FA4" w:rsidP="005B5FA4">
      <w:pPr>
        <w:rPr>
          <w:rFonts w:ascii="Arial" w:hAnsi="Arial" w:cs="Arial"/>
          <w:bCs/>
          <w:sz w:val="20"/>
          <w:szCs w:val="20"/>
          <w:lang w:val="en-US"/>
        </w:rPr>
      </w:pPr>
      <w:r w:rsidRPr="005B5FA4">
        <w:rPr>
          <w:rFonts w:ascii="Arial" w:hAnsi="Arial" w:cs="Arial"/>
          <w:bCs/>
          <w:sz w:val="20"/>
          <w:szCs w:val="20"/>
          <w:lang w:val="en-US"/>
        </w:rPr>
        <w:t>ADONIS: 38</w:t>
      </w:r>
      <w:r w:rsidR="004E2EDB">
        <w:rPr>
          <w:rFonts w:ascii="Arial" w:hAnsi="Arial" w:cs="Arial"/>
          <w:bCs/>
          <w:sz w:val="20"/>
          <w:szCs w:val="20"/>
          <w:lang w:val="en-US"/>
        </w:rPr>
        <w:t>,</w:t>
      </w:r>
      <w:r w:rsidRPr="005B5FA4">
        <w:rPr>
          <w:rFonts w:ascii="Arial" w:hAnsi="Arial" w:cs="Arial"/>
          <w:bCs/>
          <w:sz w:val="20"/>
          <w:szCs w:val="20"/>
          <w:lang w:val="en-US"/>
        </w:rPr>
        <w:t>6 mm × 28 mm (W × H)</w:t>
      </w:r>
      <w:r w:rsidRPr="005B5FA4">
        <w:rPr>
          <w:rFonts w:ascii="Arial" w:hAnsi="Arial" w:cs="Arial"/>
          <w:bCs/>
          <w:sz w:val="20"/>
          <w:szCs w:val="20"/>
          <w:lang w:val="en-US"/>
        </w:rPr>
        <w:br/>
        <w:t>Mounting types: surface, wall, ground mounting, adjustable</w:t>
      </w:r>
    </w:p>
    <w:p w14:paraId="64241000" w14:textId="6865B703" w:rsidR="005B5FA4" w:rsidRPr="005B5FA4" w:rsidRDefault="005B5FA4" w:rsidP="005B5FA4">
      <w:pPr>
        <w:rPr>
          <w:rFonts w:ascii="Arial" w:hAnsi="Arial" w:cs="Arial"/>
          <w:bCs/>
          <w:sz w:val="20"/>
          <w:szCs w:val="20"/>
          <w:lang w:val="en-US"/>
        </w:rPr>
      </w:pPr>
      <w:r w:rsidRPr="005B5FA4">
        <w:rPr>
          <w:rFonts w:ascii="Arial" w:hAnsi="Arial" w:cs="Arial"/>
          <w:bCs/>
          <w:sz w:val="20"/>
          <w:szCs w:val="20"/>
          <w:lang w:val="en-US"/>
        </w:rPr>
        <w:t xml:space="preserve">Fully encapsulated in polyurethane with a clear polyurethane top layer, providing high-quality waterproof sealing and UV resistance. The polyurethane formulation has been specifically developed for LED technology. Resistant to corrosive gases such as sulfur, chlorine, or salt mist. Fully automated and reliable in-house </w:t>
      </w:r>
      <w:r w:rsidR="00DF6025">
        <w:rPr>
          <w:rFonts w:ascii="Arial" w:hAnsi="Arial" w:cs="Arial"/>
          <w:bCs/>
          <w:sz w:val="20"/>
          <w:szCs w:val="20"/>
          <w:lang w:val="en-US"/>
        </w:rPr>
        <w:t>encapsulation</w:t>
      </w:r>
      <w:r w:rsidRPr="005B5FA4">
        <w:rPr>
          <w:rFonts w:ascii="Arial" w:hAnsi="Arial" w:cs="Arial"/>
          <w:bCs/>
          <w:sz w:val="20"/>
          <w:szCs w:val="20"/>
          <w:lang w:val="en-US"/>
        </w:rPr>
        <w:t xml:space="preserve"> process with 100% functional testing and outgoing goods inspection of each luminaire.</w:t>
      </w:r>
    </w:p>
    <w:p w14:paraId="5686C962" w14:textId="77777777" w:rsidR="005B5FA4" w:rsidRPr="005B5FA4" w:rsidRDefault="005B5FA4" w:rsidP="005B5FA4">
      <w:pPr>
        <w:rPr>
          <w:rFonts w:ascii="Arial" w:hAnsi="Arial" w:cs="Arial"/>
          <w:bCs/>
          <w:sz w:val="20"/>
          <w:szCs w:val="20"/>
          <w:lang w:val="en-US"/>
        </w:rPr>
      </w:pPr>
      <w:r w:rsidRPr="005B5FA4">
        <w:rPr>
          <w:rFonts w:ascii="Arial" w:hAnsi="Arial" w:cs="Arial"/>
          <w:bCs/>
          <w:sz w:val="20"/>
          <w:szCs w:val="20"/>
          <w:lang w:val="en-US"/>
        </w:rPr>
        <w:t>Extruded and powder-coated aluminum housing (EN AW-6060 T66) in black (RAL 9004), white (RAL 9003), and grey (RAL 9022). With a coating thickness of 50–100 µm for optimal color quality and high surface durability. Custom colors available on request. Equipped with an IP67 cable and connector system. Mounting accessories included.</w:t>
      </w:r>
    </w:p>
    <w:p w14:paraId="7528C5A6" w14:textId="561180A2" w:rsidR="005B5FA4" w:rsidRPr="002E071E" w:rsidRDefault="005B5FA4" w:rsidP="005B5FA4">
      <w:pPr>
        <w:rPr>
          <w:rFonts w:ascii="Arial" w:hAnsi="Arial" w:cs="Arial"/>
          <w:bCs/>
          <w:sz w:val="20"/>
          <w:szCs w:val="20"/>
          <w:lang w:val="en-US"/>
        </w:rPr>
      </w:pPr>
      <w:r w:rsidRPr="005B5FA4">
        <w:rPr>
          <w:rFonts w:ascii="Arial" w:hAnsi="Arial" w:cs="Arial"/>
          <w:bCs/>
          <w:sz w:val="20"/>
          <w:szCs w:val="20"/>
          <w:lang w:val="en-US"/>
        </w:rPr>
        <w:t xml:space="preserve">High-quality linear optics with three different light distribution options (10°, 30°, and 60°), and fully dot-free, homogeneous opal encapsulation without color shift across the beam angle (less than </w:t>
      </w:r>
      <w:r w:rsidR="002E071E">
        <w:rPr>
          <w:rFonts w:ascii="Arial" w:hAnsi="Arial" w:cs="Arial"/>
          <w:bCs/>
          <w:sz w:val="20"/>
          <w:szCs w:val="20"/>
          <w:lang w:val="en-US"/>
        </w:rPr>
        <w:t xml:space="preserve">+/- </w:t>
      </w:r>
      <w:r w:rsidRPr="005B5FA4">
        <w:rPr>
          <w:rFonts w:ascii="Arial" w:hAnsi="Arial" w:cs="Arial"/>
          <w:bCs/>
          <w:sz w:val="20"/>
          <w:szCs w:val="20"/>
          <w:lang w:val="en-US"/>
        </w:rPr>
        <w:t>50 K measured over the entire hemisphere).</w:t>
      </w:r>
    </w:p>
    <w:p w14:paraId="38336A2A" w14:textId="3CE88AC2" w:rsidR="005B5FA4" w:rsidRPr="00DF6025" w:rsidRDefault="005B5FA4" w:rsidP="005B5FA4">
      <w:pPr>
        <w:rPr>
          <w:rFonts w:ascii="Arial" w:hAnsi="Arial" w:cs="Arial"/>
          <w:b/>
          <w:bCs/>
        </w:rPr>
      </w:pPr>
      <w:proofErr w:type="spellStart"/>
      <w:r w:rsidRPr="00DF6025">
        <w:rPr>
          <w:rFonts w:ascii="Arial" w:hAnsi="Arial" w:cs="Arial"/>
          <w:b/>
          <w:bCs/>
        </w:rPr>
        <w:t>Mounting</w:t>
      </w:r>
      <w:proofErr w:type="spellEnd"/>
      <w:r w:rsidRPr="00DF6025">
        <w:rPr>
          <w:rFonts w:ascii="Arial" w:hAnsi="Arial" w:cs="Arial"/>
          <w:b/>
          <w:bCs/>
        </w:rPr>
        <w:t xml:space="preserve"> </w:t>
      </w:r>
      <w:proofErr w:type="spellStart"/>
      <w:r w:rsidRPr="00DF6025">
        <w:rPr>
          <w:rFonts w:ascii="Arial" w:hAnsi="Arial" w:cs="Arial"/>
          <w:b/>
          <w:bCs/>
        </w:rPr>
        <w:t>accessor</w:t>
      </w:r>
      <w:r w:rsidR="002E071E">
        <w:rPr>
          <w:rFonts w:ascii="Arial" w:hAnsi="Arial" w:cs="Arial"/>
          <w:b/>
          <w:bCs/>
        </w:rPr>
        <w:t>y</w:t>
      </w:r>
      <w:proofErr w:type="spellEnd"/>
    </w:p>
    <w:p w14:paraId="277CA6A6" w14:textId="77777777" w:rsidR="005B5FA4" w:rsidRPr="005B5FA4" w:rsidRDefault="005B5FA4" w:rsidP="002E071E">
      <w:pPr>
        <w:numPr>
          <w:ilvl w:val="0"/>
          <w:numId w:val="9"/>
        </w:numPr>
        <w:spacing w:after="0"/>
        <w:rPr>
          <w:rFonts w:ascii="Arial" w:hAnsi="Arial" w:cs="Arial"/>
          <w:bCs/>
          <w:sz w:val="20"/>
          <w:szCs w:val="20"/>
          <w:lang w:val="en-US"/>
        </w:rPr>
      </w:pPr>
      <w:r w:rsidRPr="005B5FA4">
        <w:rPr>
          <w:rFonts w:ascii="Arial" w:hAnsi="Arial" w:cs="Arial"/>
          <w:bCs/>
          <w:sz w:val="20"/>
          <w:szCs w:val="20"/>
          <w:lang w:val="en-US"/>
        </w:rPr>
        <w:t>Surface mounting, horizontally or vertically fixed.</w:t>
      </w:r>
    </w:p>
    <w:p w14:paraId="7411FC87" w14:textId="2930E68A" w:rsidR="005B5FA4" w:rsidRPr="005B5FA4" w:rsidRDefault="005B5FA4" w:rsidP="002E071E">
      <w:pPr>
        <w:numPr>
          <w:ilvl w:val="0"/>
          <w:numId w:val="9"/>
        </w:numPr>
        <w:spacing w:after="0"/>
        <w:rPr>
          <w:rFonts w:ascii="Arial" w:hAnsi="Arial" w:cs="Arial"/>
          <w:bCs/>
          <w:sz w:val="20"/>
          <w:szCs w:val="20"/>
        </w:rPr>
      </w:pPr>
      <w:r w:rsidRPr="005B5FA4">
        <w:rPr>
          <w:rFonts w:ascii="Arial" w:hAnsi="Arial" w:cs="Arial"/>
          <w:bCs/>
          <w:sz w:val="20"/>
          <w:szCs w:val="20"/>
          <w:lang w:val="en-US"/>
        </w:rPr>
        <w:t xml:space="preserve">Wall mounting with adjustable arm in four different offsets made of powder-coated aluminum with integrated cable channel: 40 mm, 100 mm, 200 mm, and 300 mm wall distance; custom lengths available on request. </w:t>
      </w:r>
      <w:proofErr w:type="spellStart"/>
      <w:r w:rsidRPr="005B5FA4">
        <w:rPr>
          <w:rFonts w:ascii="Arial" w:hAnsi="Arial" w:cs="Arial"/>
          <w:bCs/>
          <w:sz w:val="20"/>
          <w:szCs w:val="20"/>
        </w:rPr>
        <w:t>Luminaire</w:t>
      </w:r>
      <w:proofErr w:type="spellEnd"/>
      <w:r w:rsidRPr="005B5FA4">
        <w:rPr>
          <w:rFonts w:ascii="Arial" w:hAnsi="Arial" w:cs="Arial"/>
          <w:bCs/>
          <w:sz w:val="20"/>
          <w:szCs w:val="20"/>
        </w:rPr>
        <w:t xml:space="preserve"> </w:t>
      </w:r>
      <w:proofErr w:type="spellStart"/>
      <w:r w:rsidRPr="005B5FA4">
        <w:rPr>
          <w:rFonts w:ascii="Arial" w:hAnsi="Arial" w:cs="Arial"/>
          <w:bCs/>
          <w:sz w:val="20"/>
          <w:szCs w:val="20"/>
        </w:rPr>
        <w:t>can</w:t>
      </w:r>
      <w:proofErr w:type="spellEnd"/>
      <w:r w:rsidRPr="005B5FA4">
        <w:rPr>
          <w:rFonts w:ascii="Arial" w:hAnsi="Arial" w:cs="Arial"/>
          <w:bCs/>
          <w:sz w:val="20"/>
          <w:szCs w:val="20"/>
        </w:rPr>
        <w:t xml:space="preserve"> </w:t>
      </w:r>
      <w:proofErr w:type="spellStart"/>
      <w:r w:rsidRPr="005B5FA4">
        <w:rPr>
          <w:rFonts w:ascii="Arial" w:hAnsi="Arial" w:cs="Arial"/>
          <w:bCs/>
          <w:sz w:val="20"/>
          <w:szCs w:val="20"/>
        </w:rPr>
        <w:t>be</w:t>
      </w:r>
      <w:proofErr w:type="spellEnd"/>
      <w:r w:rsidRPr="005B5FA4">
        <w:rPr>
          <w:rFonts w:ascii="Arial" w:hAnsi="Arial" w:cs="Arial"/>
          <w:bCs/>
          <w:sz w:val="20"/>
          <w:szCs w:val="20"/>
        </w:rPr>
        <w:t xml:space="preserve"> </w:t>
      </w:r>
      <w:proofErr w:type="spellStart"/>
      <w:r w:rsidRPr="005B5FA4">
        <w:rPr>
          <w:rFonts w:ascii="Arial" w:hAnsi="Arial" w:cs="Arial"/>
          <w:bCs/>
          <w:sz w:val="20"/>
          <w:szCs w:val="20"/>
        </w:rPr>
        <w:t>continuously</w:t>
      </w:r>
      <w:proofErr w:type="spellEnd"/>
      <w:r w:rsidRPr="005B5FA4">
        <w:rPr>
          <w:rFonts w:ascii="Arial" w:hAnsi="Arial" w:cs="Arial"/>
          <w:bCs/>
          <w:sz w:val="20"/>
          <w:szCs w:val="20"/>
        </w:rPr>
        <w:t xml:space="preserve"> </w:t>
      </w:r>
      <w:proofErr w:type="spellStart"/>
      <w:r w:rsidRPr="005B5FA4">
        <w:rPr>
          <w:rFonts w:ascii="Arial" w:hAnsi="Arial" w:cs="Arial"/>
          <w:bCs/>
          <w:sz w:val="20"/>
          <w:szCs w:val="20"/>
        </w:rPr>
        <w:t>adjusted</w:t>
      </w:r>
      <w:proofErr w:type="spellEnd"/>
      <w:r w:rsidRPr="005B5FA4">
        <w:rPr>
          <w:rFonts w:ascii="Arial" w:hAnsi="Arial" w:cs="Arial"/>
          <w:bCs/>
          <w:sz w:val="20"/>
          <w:szCs w:val="20"/>
        </w:rPr>
        <w:t xml:space="preserve"> </w:t>
      </w:r>
      <w:proofErr w:type="spellStart"/>
      <w:r w:rsidRPr="005B5FA4">
        <w:rPr>
          <w:rFonts w:ascii="Arial" w:hAnsi="Arial" w:cs="Arial"/>
          <w:bCs/>
          <w:sz w:val="20"/>
          <w:szCs w:val="20"/>
        </w:rPr>
        <w:t>by</w:t>
      </w:r>
      <w:proofErr w:type="spellEnd"/>
      <w:r w:rsidRPr="005B5FA4">
        <w:rPr>
          <w:rFonts w:ascii="Arial" w:hAnsi="Arial" w:cs="Arial"/>
          <w:bCs/>
          <w:sz w:val="20"/>
          <w:szCs w:val="20"/>
        </w:rPr>
        <w:t xml:space="preserve"> </w:t>
      </w:r>
      <w:r w:rsidR="001C0D4C">
        <w:rPr>
          <w:rFonts w:ascii="Arial" w:hAnsi="Arial" w:cs="Arial"/>
          <w:bCs/>
          <w:sz w:val="20"/>
          <w:szCs w:val="20"/>
        </w:rPr>
        <w:t xml:space="preserve">+/- </w:t>
      </w:r>
      <w:r w:rsidRPr="005B5FA4">
        <w:rPr>
          <w:rFonts w:ascii="Arial" w:hAnsi="Arial" w:cs="Arial"/>
          <w:bCs/>
          <w:sz w:val="20"/>
          <w:szCs w:val="20"/>
        </w:rPr>
        <w:t>120°.</w:t>
      </w:r>
    </w:p>
    <w:p w14:paraId="7111B928" w14:textId="77777777" w:rsidR="005B5FA4" w:rsidRPr="005B5FA4" w:rsidRDefault="005B5FA4" w:rsidP="002E071E">
      <w:pPr>
        <w:numPr>
          <w:ilvl w:val="0"/>
          <w:numId w:val="9"/>
        </w:numPr>
        <w:spacing w:after="0"/>
        <w:rPr>
          <w:rFonts w:ascii="Arial" w:hAnsi="Arial" w:cs="Arial"/>
          <w:bCs/>
          <w:sz w:val="20"/>
          <w:szCs w:val="20"/>
          <w:lang w:val="en-US"/>
        </w:rPr>
      </w:pPr>
      <w:r w:rsidRPr="005B5FA4">
        <w:rPr>
          <w:rFonts w:ascii="Arial" w:hAnsi="Arial" w:cs="Arial"/>
          <w:bCs/>
          <w:sz w:val="20"/>
          <w:szCs w:val="20"/>
          <w:lang w:val="en-US"/>
        </w:rPr>
        <w:t>In-ground installation channel (aluminum, silver anodized) with drainage holes and sufficient space for cable management. Available either as a single unit cut precisely to luminaire length or as a continuous line installation with mechanical connectors. External IK10 certification when installed in the in-ground channel.</w:t>
      </w:r>
    </w:p>
    <w:p w14:paraId="4FF925F2" w14:textId="77777777" w:rsidR="005B5FA4" w:rsidRPr="005B5FA4" w:rsidRDefault="005B5FA4" w:rsidP="002E071E">
      <w:pPr>
        <w:numPr>
          <w:ilvl w:val="0"/>
          <w:numId w:val="9"/>
        </w:numPr>
        <w:spacing w:after="0"/>
        <w:rPr>
          <w:rFonts w:ascii="Arial" w:hAnsi="Arial" w:cs="Arial"/>
          <w:bCs/>
          <w:sz w:val="20"/>
          <w:szCs w:val="20"/>
          <w:lang w:val="en-US"/>
        </w:rPr>
      </w:pPr>
      <w:r w:rsidRPr="005B5FA4">
        <w:rPr>
          <w:rFonts w:ascii="Arial" w:hAnsi="Arial" w:cs="Arial"/>
          <w:bCs/>
          <w:sz w:val="20"/>
          <w:szCs w:val="20"/>
          <w:lang w:val="en-US"/>
        </w:rPr>
        <w:t>Surface mounting with screw fixing for additional protection against vandalism, theft, or extreme weather conditions.</w:t>
      </w:r>
    </w:p>
    <w:p w14:paraId="1E5ABB79" w14:textId="40AB03DF" w:rsidR="005B5FA4" w:rsidRDefault="005B5FA4" w:rsidP="002E071E">
      <w:pPr>
        <w:spacing w:after="0"/>
        <w:rPr>
          <w:rFonts w:ascii="Arial" w:hAnsi="Arial" w:cs="Arial"/>
          <w:bCs/>
          <w:sz w:val="20"/>
          <w:szCs w:val="20"/>
          <w:lang w:val="en-US"/>
        </w:rPr>
      </w:pPr>
      <w:r w:rsidRPr="005B5FA4">
        <w:rPr>
          <w:rFonts w:ascii="Arial" w:hAnsi="Arial" w:cs="Arial"/>
          <w:bCs/>
          <w:sz w:val="20"/>
          <w:szCs w:val="20"/>
          <w:lang w:val="en-US"/>
        </w:rPr>
        <w:t>All accessories are available in three color options: RAL 9004 (black), RAL 9003 (white), and RAL 9022 (grey). Custom colors available on request. Surface clips are concealed beneath the luminaire and are not visible externally.</w:t>
      </w:r>
    </w:p>
    <w:p w14:paraId="1CDE53E3" w14:textId="77777777" w:rsidR="002E071E" w:rsidRPr="002E071E" w:rsidRDefault="002E071E" w:rsidP="002E071E">
      <w:pPr>
        <w:spacing w:after="0"/>
        <w:rPr>
          <w:rFonts w:ascii="Arial" w:hAnsi="Arial" w:cs="Arial"/>
          <w:bCs/>
          <w:sz w:val="20"/>
          <w:szCs w:val="20"/>
          <w:lang w:val="en-US"/>
        </w:rPr>
      </w:pPr>
    </w:p>
    <w:p w14:paraId="19D6E2DB" w14:textId="34C762AF" w:rsidR="005B5FA4" w:rsidRPr="002E071E" w:rsidRDefault="005B5FA4" w:rsidP="005B5FA4">
      <w:pPr>
        <w:rPr>
          <w:rFonts w:ascii="Arial" w:hAnsi="Arial" w:cs="Arial"/>
          <w:b/>
          <w:bCs/>
        </w:rPr>
      </w:pPr>
      <w:r w:rsidRPr="002E071E">
        <w:rPr>
          <w:rFonts w:ascii="Arial" w:hAnsi="Arial" w:cs="Arial"/>
          <w:b/>
          <w:bCs/>
        </w:rPr>
        <w:t xml:space="preserve">Additional glare </w:t>
      </w:r>
      <w:proofErr w:type="spellStart"/>
      <w:r w:rsidRPr="002E071E">
        <w:rPr>
          <w:rFonts w:ascii="Arial" w:hAnsi="Arial" w:cs="Arial"/>
          <w:b/>
          <w:bCs/>
        </w:rPr>
        <w:t>control</w:t>
      </w:r>
      <w:proofErr w:type="spellEnd"/>
      <w:r w:rsidRPr="002E071E">
        <w:rPr>
          <w:rFonts w:ascii="Arial" w:hAnsi="Arial" w:cs="Arial"/>
          <w:b/>
          <w:bCs/>
        </w:rPr>
        <w:t xml:space="preserve"> </w:t>
      </w:r>
      <w:proofErr w:type="spellStart"/>
      <w:r w:rsidRPr="002E071E">
        <w:rPr>
          <w:rFonts w:ascii="Arial" w:hAnsi="Arial" w:cs="Arial"/>
          <w:b/>
          <w:bCs/>
        </w:rPr>
        <w:t>accessor</w:t>
      </w:r>
      <w:r w:rsidR="002E071E" w:rsidRPr="002E071E">
        <w:rPr>
          <w:rFonts w:ascii="Arial" w:hAnsi="Arial" w:cs="Arial"/>
          <w:b/>
          <w:bCs/>
        </w:rPr>
        <w:t>y</w:t>
      </w:r>
      <w:proofErr w:type="spellEnd"/>
    </w:p>
    <w:p w14:paraId="4BF7AAA3" w14:textId="613B0905" w:rsidR="005B5FA4" w:rsidRPr="001C0D4C" w:rsidRDefault="005B5FA4" w:rsidP="005B5FA4">
      <w:pPr>
        <w:numPr>
          <w:ilvl w:val="0"/>
          <w:numId w:val="10"/>
        </w:numPr>
        <w:rPr>
          <w:rFonts w:ascii="Arial" w:hAnsi="Arial" w:cs="Arial"/>
          <w:bCs/>
          <w:sz w:val="20"/>
          <w:szCs w:val="20"/>
          <w:lang w:val="en-US"/>
        </w:rPr>
      </w:pPr>
      <w:r w:rsidRPr="005B5FA4">
        <w:rPr>
          <w:rFonts w:ascii="Arial" w:hAnsi="Arial" w:cs="Arial"/>
          <w:bCs/>
          <w:sz w:val="20"/>
          <w:szCs w:val="20"/>
          <w:lang w:val="en-US"/>
        </w:rPr>
        <w:t>Aluminum glare shield profile, powder-coated in luminaire colors (custom colors available on request), for one-sided light shielding and complete concealment of the light source. Ideal for grazing applications. Can be cut to size on site.</w:t>
      </w:r>
    </w:p>
    <w:p w14:paraId="7759FC17" w14:textId="22F170BC" w:rsidR="005B5FA4" w:rsidRPr="001C0D4C" w:rsidRDefault="005B5FA4" w:rsidP="005B5FA4">
      <w:pPr>
        <w:rPr>
          <w:rFonts w:ascii="Arial" w:hAnsi="Arial" w:cs="Arial"/>
          <w:b/>
          <w:bCs/>
          <w:lang w:val="en-US"/>
        </w:rPr>
      </w:pPr>
      <w:r w:rsidRPr="001C0D4C">
        <w:rPr>
          <w:rFonts w:ascii="Arial" w:hAnsi="Arial" w:cs="Arial"/>
          <w:b/>
          <w:bCs/>
          <w:lang w:val="en-US"/>
        </w:rPr>
        <w:t xml:space="preserve">Light </w:t>
      </w:r>
      <w:r w:rsidRPr="001C0D4C">
        <w:rPr>
          <w:rFonts w:ascii="Arial" w:hAnsi="Arial" w:cs="Arial"/>
          <w:b/>
          <w:bCs/>
          <w:lang w:val="en-US"/>
        </w:rPr>
        <w:t>engine</w:t>
      </w:r>
    </w:p>
    <w:p w14:paraId="47582FDA" w14:textId="77777777" w:rsidR="00C02E3E" w:rsidRPr="00C02E3E" w:rsidRDefault="00C02E3E" w:rsidP="00C02E3E">
      <w:pPr>
        <w:widowControl w:val="0"/>
        <w:autoSpaceDE w:val="0"/>
        <w:autoSpaceDN w:val="0"/>
        <w:adjustRightInd w:val="0"/>
        <w:spacing w:after="0" w:line="240" w:lineRule="auto"/>
        <w:rPr>
          <w:rFonts w:ascii="Arial" w:hAnsi="Arial" w:cs="Arial"/>
          <w:kern w:val="0"/>
          <w:sz w:val="20"/>
          <w:szCs w:val="20"/>
          <w:lang w:val="en-US"/>
        </w:rPr>
      </w:pPr>
      <w:r w:rsidRPr="00C02E3E">
        <w:rPr>
          <w:rFonts w:ascii="Arial" w:hAnsi="Arial" w:cs="Arial"/>
          <w:kern w:val="0"/>
          <w:sz w:val="20"/>
          <w:szCs w:val="20"/>
          <w:lang w:val="en-US"/>
        </w:rPr>
        <w:t xml:space="preserve">24V Light source assembled using state of the art automated Reel-to-Reel (R2R) production process supporting LED Linear™ Tj Away® thin flexible circuit board technology. </w:t>
      </w:r>
    </w:p>
    <w:p w14:paraId="62F8CE85" w14:textId="77777777" w:rsidR="00FA15C8" w:rsidRDefault="00FA15C8" w:rsidP="00FA15C8">
      <w:pPr>
        <w:spacing w:after="0"/>
        <w:rPr>
          <w:rFonts w:ascii="Arial" w:hAnsi="Arial" w:cs="Arial"/>
          <w:bCs/>
          <w:sz w:val="20"/>
          <w:szCs w:val="20"/>
          <w:lang w:val="en-US"/>
        </w:rPr>
      </w:pPr>
    </w:p>
    <w:p w14:paraId="06116FDC" w14:textId="1E0FE60A" w:rsidR="005B5FA4" w:rsidRDefault="005B5FA4" w:rsidP="00FA15C8">
      <w:pPr>
        <w:spacing w:after="0"/>
        <w:rPr>
          <w:rFonts w:ascii="Arial" w:hAnsi="Arial" w:cs="Arial"/>
          <w:bCs/>
          <w:sz w:val="20"/>
          <w:szCs w:val="20"/>
          <w:lang w:val="en-US"/>
        </w:rPr>
      </w:pPr>
      <w:r w:rsidRPr="005B5FA4">
        <w:rPr>
          <w:rFonts w:ascii="Arial" w:hAnsi="Arial" w:cs="Arial"/>
          <w:bCs/>
          <w:sz w:val="20"/>
          <w:szCs w:val="20"/>
          <w:lang w:val="en-US"/>
        </w:rPr>
        <w:t xml:space="preserve">Equipped with high-quality CSP LEDs with 3-step </w:t>
      </w:r>
      <w:proofErr w:type="spellStart"/>
      <w:r w:rsidRPr="005B5FA4">
        <w:rPr>
          <w:rFonts w:ascii="Arial" w:hAnsi="Arial" w:cs="Arial"/>
          <w:bCs/>
          <w:sz w:val="20"/>
          <w:szCs w:val="20"/>
          <w:lang w:val="en-US"/>
        </w:rPr>
        <w:t>MacAdam</w:t>
      </w:r>
      <w:proofErr w:type="spellEnd"/>
      <w:r w:rsidRPr="005B5FA4">
        <w:rPr>
          <w:rFonts w:ascii="Arial" w:hAnsi="Arial" w:cs="Arial"/>
          <w:bCs/>
          <w:sz w:val="20"/>
          <w:szCs w:val="20"/>
          <w:lang w:val="en-US"/>
        </w:rPr>
        <w:t xml:space="preserve"> binning (SDCM3), centered on the target CCT (one bin only), and an extended photometric code </w:t>
      </w:r>
      <w:proofErr w:type="spellStart"/>
      <w:r w:rsidRPr="005B5FA4">
        <w:rPr>
          <w:rFonts w:ascii="Arial" w:hAnsi="Arial" w:cs="Arial"/>
          <w:bCs/>
          <w:sz w:val="20"/>
          <w:szCs w:val="20"/>
          <w:lang w:val="en-US"/>
        </w:rPr>
        <w:t>Wxxx</w:t>
      </w:r>
      <w:proofErr w:type="spellEnd"/>
      <w:r w:rsidRPr="005B5FA4">
        <w:rPr>
          <w:rFonts w:ascii="Arial" w:hAnsi="Arial" w:cs="Arial"/>
          <w:bCs/>
          <w:sz w:val="20"/>
          <w:szCs w:val="20"/>
          <w:lang w:val="en-US"/>
        </w:rPr>
        <w:t>/339 for exceptional color consistency over the entire lifetime. This ensures excellent heat dissipation and a lifetime of &gt;60,000 hours (L80/B10) at 25°C ambient temperature and up to a maximum ambient temperature of 50°C (40°C at 40 W/m).</w:t>
      </w:r>
    </w:p>
    <w:p w14:paraId="054B4A1C" w14:textId="77777777" w:rsidR="00FA15C8" w:rsidRPr="005B5FA4" w:rsidRDefault="00FA15C8" w:rsidP="00FA15C8">
      <w:pPr>
        <w:spacing w:after="0"/>
        <w:rPr>
          <w:rFonts w:ascii="Arial" w:hAnsi="Arial" w:cs="Arial"/>
          <w:bCs/>
          <w:sz w:val="20"/>
          <w:szCs w:val="20"/>
          <w:lang w:val="en-US"/>
        </w:rPr>
      </w:pPr>
    </w:p>
    <w:p w14:paraId="65FD05AA" w14:textId="1862A6E8" w:rsidR="005B5FA4" w:rsidRPr="005B5FA4" w:rsidRDefault="005B5FA4" w:rsidP="005B5FA4">
      <w:pPr>
        <w:rPr>
          <w:rFonts w:ascii="Arial" w:hAnsi="Arial" w:cs="Arial"/>
          <w:bCs/>
          <w:sz w:val="20"/>
          <w:szCs w:val="20"/>
          <w:lang w:val="en-US"/>
        </w:rPr>
      </w:pPr>
      <w:r w:rsidRPr="005B5FA4">
        <w:rPr>
          <w:rFonts w:ascii="Arial" w:hAnsi="Arial" w:cs="Arial"/>
          <w:bCs/>
          <w:sz w:val="20"/>
          <w:szCs w:val="20"/>
          <w:lang w:val="en-US"/>
        </w:rPr>
        <w:t xml:space="preserve">Excellent color rendering with CRI up to 97 (R9 = 91) and TM-30-15 values up to Rf = 90 / </w:t>
      </w:r>
      <w:proofErr w:type="spellStart"/>
      <w:r w:rsidRPr="005B5FA4">
        <w:rPr>
          <w:rFonts w:ascii="Arial" w:hAnsi="Arial" w:cs="Arial"/>
          <w:bCs/>
          <w:sz w:val="20"/>
          <w:szCs w:val="20"/>
          <w:lang w:val="en-US"/>
        </w:rPr>
        <w:t>Rg</w:t>
      </w:r>
      <w:proofErr w:type="spellEnd"/>
      <w:r w:rsidRPr="005B5FA4">
        <w:rPr>
          <w:rFonts w:ascii="Arial" w:hAnsi="Arial" w:cs="Arial"/>
          <w:bCs/>
          <w:sz w:val="20"/>
          <w:szCs w:val="20"/>
          <w:lang w:val="en-US"/>
        </w:rPr>
        <w:t xml:space="preserve"> = 101 ensure outstanding light quality. For </w:t>
      </w:r>
      <w:r w:rsidR="00DE64E7">
        <w:rPr>
          <w:rFonts w:ascii="Arial" w:hAnsi="Arial" w:cs="Arial"/>
          <w:bCs/>
          <w:sz w:val="20"/>
          <w:szCs w:val="20"/>
          <w:lang w:val="en-US"/>
        </w:rPr>
        <w:t>tunable</w:t>
      </w:r>
      <w:r w:rsidRPr="005B5FA4">
        <w:rPr>
          <w:rFonts w:ascii="Arial" w:hAnsi="Arial" w:cs="Arial"/>
          <w:bCs/>
          <w:sz w:val="20"/>
          <w:szCs w:val="20"/>
          <w:lang w:val="en-US"/>
        </w:rPr>
        <w:t xml:space="preserve"> white, CRI values up to 95 (R9 = 92) and TM-30-15 values up to Rf = 90 / </w:t>
      </w:r>
      <w:proofErr w:type="spellStart"/>
      <w:r w:rsidRPr="005B5FA4">
        <w:rPr>
          <w:rFonts w:ascii="Arial" w:hAnsi="Arial" w:cs="Arial"/>
          <w:bCs/>
          <w:sz w:val="20"/>
          <w:szCs w:val="20"/>
          <w:lang w:val="en-US"/>
        </w:rPr>
        <w:t>Rg</w:t>
      </w:r>
      <w:proofErr w:type="spellEnd"/>
      <w:r w:rsidRPr="005B5FA4">
        <w:rPr>
          <w:rFonts w:ascii="Arial" w:hAnsi="Arial" w:cs="Arial"/>
          <w:bCs/>
          <w:sz w:val="20"/>
          <w:szCs w:val="20"/>
          <w:lang w:val="en-US"/>
        </w:rPr>
        <w:t xml:space="preserve"> = 100 apply.</w:t>
      </w:r>
    </w:p>
    <w:p w14:paraId="36CF342F" w14:textId="77777777" w:rsidR="005B5FA4" w:rsidRPr="005B5FA4" w:rsidRDefault="005B5FA4" w:rsidP="005B5FA4">
      <w:pPr>
        <w:rPr>
          <w:rFonts w:ascii="Arial" w:hAnsi="Arial" w:cs="Arial"/>
          <w:bCs/>
          <w:sz w:val="20"/>
          <w:szCs w:val="20"/>
          <w:lang w:val="en-US"/>
        </w:rPr>
      </w:pPr>
      <w:r w:rsidRPr="005B5FA4">
        <w:rPr>
          <w:rFonts w:ascii="Arial" w:hAnsi="Arial" w:cs="Arial"/>
          <w:bCs/>
          <w:sz w:val="20"/>
          <w:szCs w:val="20"/>
          <w:lang w:val="en-US"/>
        </w:rPr>
        <w:t>Uniform light intensity across the entire length of the luminaire is ensured through active current regulation, controlled by integrated circuits (ICs) at each step of the light source.</w:t>
      </w:r>
    </w:p>
    <w:p w14:paraId="4611B85B" w14:textId="00B91C0B" w:rsidR="005B5FA4" w:rsidRPr="004A6DC4" w:rsidRDefault="005B5FA4" w:rsidP="005B5FA4">
      <w:pPr>
        <w:rPr>
          <w:rFonts w:ascii="Arial" w:hAnsi="Arial" w:cs="Arial"/>
          <w:bCs/>
          <w:sz w:val="20"/>
          <w:szCs w:val="20"/>
          <w:lang w:val="en-US"/>
        </w:rPr>
      </w:pPr>
      <w:r w:rsidRPr="005B5FA4">
        <w:rPr>
          <w:rFonts w:ascii="Arial" w:hAnsi="Arial" w:cs="Arial"/>
          <w:bCs/>
          <w:sz w:val="20"/>
          <w:szCs w:val="20"/>
          <w:lang w:val="en-US"/>
        </w:rPr>
        <w:t xml:space="preserve">Protected against electrostatic discharge up to </w:t>
      </w:r>
      <w:r w:rsidR="00DE64E7">
        <w:rPr>
          <w:rFonts w:ascii="Arial" w:hAnsi="Arial" w:cs="Arial"/>
          <w:bCs/>
          <w:sz w:val="20"/>
          <w:szCs w:val="20"/>
          <w:lang w:val="en-US"/>
        </w:rPr>
        <w:t xml:space="preserve">+/- </w:t>
      </w:r>
      <w:r w:rsidRPr="005B5FA4">
        <w:rPr>
          <w:rFonts w:ascii="Arial" w:hAnsi="Arial" w:cs="Arial"/>
          <w:bCs/>
          <w:sz w:val="20"/>
          <w:szCs w:val="20"/>
          <w:lang w:val="en-US"/>
        </w:rPr>
        <w:t xml:space="preserve">2,000 V and </w:t>
      </w:r>
      <w:r w:rsidR="004A6DC4" w:rsidRPr="004A6DC4">
        <w:rPr>
          <w:rFonts w:ascii="Arial" w:hAnsi="Arial" w:cs="Arial"/>
          <w:kern w:val="0"/>
          <w:sz w:val="20"/>
          <w:szCs w:val="20"/>
          <w:lang w:val="en-US"/>
        </w:rPr>
        <w:t>polarity miswiring.</w:t>
      </w:r>
    </w:p>
    <w:p w14:paraId="3655F71A" w14:textId="77777777" w:rsidR="002F1BE5" w:rsidRPr="002F1BE5" w:rsidRDefault="002F1BE5" w:rsidP="002F1BE5">
      <w:pPr>
        <w:widowControl w:val="0"/>
        <w:autoSpaceDE w:val="0"/>
        <w:autoSpaceDN w:val="0"/>
        <w:adjustRightInd w:val="0"/>
        <w:spacing w:after="0" w:line="240" w:lineRule="auto"/>
        <w:rPr>
          <w:rFonts w:ascii="Arial" w:hAnsi="Arial" w:cs="Arial"/>
          <w:kern w:val="0"/>
          <w:sz w:val="20"/>
          <w:szCs w:val="20"/>
          <w:lang w:val="en-US"/>
        </w:rPr>
      </w:pPr>
      <w:r w:rsidRPr="002F1BE5">
        <w:rPr>
          <w:rFonts w:ascii="Arial" w:hAnsi="Arial" w:cs="Arial"/>
          <w:kern w:val="0"/>
          <w:sz w:val="20"/>
          <w:szCs w:val="20"/>
          <w:lang w:val="en-US"/>
        </w:rPr>
        <w:lastRenderedPageBreak/>
        <w:t xml:space="preserve">Fully PWM dimmable for frequency &gt; 0 Hz up to 2 kHz (flicker free for frequency higher than 1.2 kHz according to IEEE P1789 standard). </w:t>
      </w:r>
    </w:p>
    <w:p w14:paraId="0AC513D0" w14:textId="77777777" w:rsidR="002F1BE5" w:rsidRDefault="002F1BE5" w:rsidP="000C339D">
      <w:pPr>
        <w:widowControl w:val="0"/>
        <w:autoSpaceDE w:val="0"/>
        <w:autoSpaceDN w:val="0"/>
        <w:adjustRightInd w:val="0"/>
        <w:spacing w:after="0" w:line="240" w:lineRule="auto"/>
        <w:rPr>
          <w:rFonts w:ascii="Arial" w:hAnsi="Arial" w:cs="Arial"/>
          <w:bCs/>
          <w:sz w:val="20"/>
          <w:szCs w:val="20"/>
          <w:lang w:val="en-US"/>
        </w:rPr>
      </w:pPr>
    </w:p>
    <w:p w14:paraId="56AF37CE" w14:textId="610B54E7" w:rsidR="000C339D" w:rsidRPr="000C339D" w:rsidRDefault="005B5FA4" w:rsidP="000C339D">
      <w:pPr>
        <w:widowControl w:val="0"/>
        <w:autoSpaceDE w:val="0"/>
        <w:autoSpaceDN w:val="0"/>
        <w:adjustRightInd w:val="0"/>
        <w:spacing w:after="0" w:line="240" w:lineRule="auto"/>
        <w:rPr>
          <w:rFonts w:ascii="Arial" w:hAnsi="Arial" w:cs="Arial"/>
          <w:kern w:val="0"/>
          <w:sz w:val="20"/>
          <w:szCs w:val="20"/>
          <w:lang w:val="en-US"/>
        </w:rPr>
      </w:pPr>
      <w:r w:rsidRPr="005B5FA4">
        <w:rPr>
          <w:rFonts w:ascii="Arial" w:hAnsi="Arial" w:cs="Arial"/>
          <w:bCs/>
          <w:sz w:val="20"/>
          <w:szCs w:val="20"/>
          <w:lang w:val="en-US"/>
        </w:rPr>
        <w:t xml:space="preserve">Luminaire and light </w:t>
      </w:r>
      <w:r w:rsidR="000C339D">
        <w:rPr>
          <w:rFonts w:ascii="Arial" w:hAnsi="Arial" w:cs="Arial"/>
          <w:bCs/>
          <w:sz w:val="20"/>
          <w:szCs w:val="20"/>
          <w:lang w:val="en-US"/>
        </w:rPr>
        <w:t xml:space="preserve">engine </w:t>
      </w:r>
      <w:r w:rsidR="000C339D">
        <w:rPr>
          <w:rFonts w:ascii="Arial" w:hAnsi="Arial" w:cs="Arial"/>
          <w:kern w:val="0"/>
          <w:sz w:val="20"/>
          <w:szCs w:val="20"/>
          <w:lang w:val="en-US"/>
        </w:rPr>
        <w:t>e</w:t>
      </w:r>
      <w:r w:rsidR="000C339D" w:rsidRPr="000C339D">
        <w:rPr>
          <w:rFonts w:ascii="Arial" w:hAnsi="Arial" w:cs="Arial"/>
          <w:kern w:val="0"/>
          <w:sz w:val="20"/>
          <w:szCs w:val="20"/>
          <w:lang w:val="en-US"/>
        </w:rPr>
        <w:t>ngineered and produced in Germany.</w:t>
      </w:r>
    </w:p>
    <w:p w14:paraId="40ECA4C4" w14:textId="1AFCB1BB" w:rsidR="005B5FA4" w:rsidRPr="005B5FA4" w:rsidRDefault="005B5FA4" w:rsidP="005B5FA4">
      <w:pPr>
        <w:rPr>
          <w:rFonts w:ascii="Arial" w:hAnsi="Arial" w:cs="Arial"/>
          <w:bCs/>
          <w:sz w:val="20"/>
          <w:szCs w:val="20"/>
          <w:lang w:val="en-US"/>
        </w:rPr>
      </w:pPr>
    </w:p>
    <w:p w14:paraId="26A60308" w14:textId="77777777" w:rsidR="00152A85" w:rsidRPr="00152A85" w:rsidRDefault="00152A85" w:rsidP="00152A85">
      <w:pPr>
        <w:widowControl w:val="0"/>
        <w:autoSpaceDE w:val="0"/>
        <w:autoSpaceDN w:val="0"/>
        <w:adjustRightInd w:val="0"/>
        <w:spacing w:after="0" w:line="240" w:lineRule="auto"/>
        <w:rPr>
          <w:rFonts w:ascii="Arial" w:hAnsi="Arial" w:cs="Arial"/>
          <w:b/>
          <w:bCs/>
          <w:kern w:val="0"/>
          <w:sz w:val="20"/>
          <w:szCs w:val="20"/>
          <w:lang w:val="en-US"/>
        </w:rPr>
      </w:pPr>
      <w:r w:rsidRPr="00152A85">
        <w:rPr>
          <w:rFonts w:ascii="Arial" w:hAnsi="Arial" w:cs="Arial"/>
          <w:b/>
          <w:bCs/>
          <w:kern w:val="0"/>
          <w:lang w:val="en-US"/>
        </w:rPr>
        <w:t>Reports and certifications</w:t>
      </w:r>
    </w:p>
    <w:p w14:paraId="49CF1B94" w14:textId="77777777" w:rsidR="00152A85" w:rsidRPr="00152A85" w:rsidRDefault="00152A85" w:rsidP="00152A85">
      <w:pPr>
        <w:widowControl w:val="0"/>
        <w:autoSpaceDE w:val="0"/>
        <w:autoSpaceDN w:val="0"/>
        <w:adjustRightInd w:val="0"/>
        <w:spacing w:after="0" w:line="240" w:lineRule="auto"/>
        <w:ind w:left="2880" w:hanging="2880"/>
        <w:rPr>
          <w:rFonts w:ascii="Arial" w:hAnsi="Arial" w:cs="Arial"/>
          <w:kern w:val="0"/>
          <w:sz w:val="20"/>
          <w:szCs w:val="20"/>
          <w:lang w:val="en-US"/>
        </w:rPr>
      </w:pPr>
      <w:r w:rsidRPr="00152A85">
        <w:rPr>
          <w:rFonts w:ascii="Arial" w:hAnsi="Arial" w:cs="Arial"/>
          <w:kern w:val="0"/>
          <w:sz w:val="20"/>
          <w:szCs w:val="20"/>
          <w:lang w:val="en-US"/>
        </w:rPr>
        <w:t>CE:</w:t>
      </w:r>
      <w:r w:rsidRPr="00152A85">
        <w:rPr>
          <w:rFonts w:ascii="Arial" w:hAnsi="Arial" w:cs="Arial"/>
          <w:kern w:val="0"/>
          <w:sz w:val="20"/>
          <w:szCs w:val="20"/>
          <w:lang w:val="en-US"/>
        </w:rPr>
        <w:tab/>
        <w:t xml:space="preserve">Yes, according to EN 60598-1:2022; EN 60598-2-1:2021 </w:t>
      </w:r>
    </w:p>
    <w:p w14:paraId="2961D628" w14:textId="77777777" w:rsidR="00152A85" w:rsidRPr="00152A85" w:rsidRDefault="00152A85" w:rsidP="00152A85">
      <w:pPr>
        <w:widowControl w:val="0"/>
        <w:autoSpaceDE w:val="0"/>
        <w:autoSpaceDN w:val="0"/>
        <w:adjustRightInd w:val="0"/>
        <w:spacing w:after="0" w:line="240" w:lineRule="auto"/>
        <w:ind w:left="2880"/>
        <w:rPr>
          <w:rFonts w:ascii="Arial" w:hAnsi="Arial" w:cs="Arial"/>
          <w:kern w:val="0"/>
          <w:sz w:val="20"/>
          <w:szCs w:val="20"/>
          <w:lang w:val="en-US"/>
        </w:rPr>
      </w:pPr>
      <w:r w:rsidRPr="00152A85">
        <w:rPr>
          <w:rFonts w:ascii="Arial" w:hAnsi="Arial" w:cs="Arial"/>
          <w:kern w:val="0"/>
          <w:sz w:val="20"/>
          <w:szCs w:val="20"/>
          <w:lang w:val="en-US"/>
        </w:rPr>
        <w:t xml:space="preserve">Ecodesign Directive 2019/2020/EU (L315/209) </w:t>
      </w:r>
    </w:p>
    <w:p w14:paraId="29618AC2" w14:textId="77777777" w:rsidR="00152A85" w:rsidRPr="00152A85" w:rsidRDefault="00152A85" w:rsidP="00152A85">
      <w:pPr>
        <w:widowControl w:val="0"/>
        <w:autoSpaceDE w:val="0"/>
        <w:autoSpaceDN w:val="0"/>
        <w:adjustRightInd w:val="0"/>
        <w:spacing w:after="0" w:line="240" w:lineRule="auto"/>
        <w:ind w:left="2160" w:firstLine="720"/>
        <w:rPr>
          <w:rFonts w:ascii="Arial" w:hAnsi="Arial" w:cs="Arial"/>
          <w:kern w:val="0"/>
          <w:sz w:val="20"/>
          <w:szCs w:val="20"/>
          <w:lang w:val="en-US"/>
        </w:rPr>
      </w:pPr>
      <w:r w:rsidRPr="00152A85">
        <w:rPr>
          <w:rFonts w:ascii="Arial" w:hAnsi="Arial" w:cs="Arial"/>
          <w:kern w:val="0"/>
          <w:sz w:val="20"/>
          <w:szCs w:val="20"/>
          <w:lang w:val="en-US"/>
        </w:rPr>
        <w:t xml:space="preserve">ROHS Directive 2011/65/EU (L174/88) </w:t>
      </w:r>
    </w:p>
    <w:p w14:paraId="1E15003B" w14:textId="77777777" w:rsidR="00152A85" w:rsidRPr="00152A85" w:rsidRDefault="00152A85" w:rsidP="00152A85">
      <w:pPr>
        <w:widowControl w:val="0"/>
        <w:autoSpaceDE w:val="0"/>
        <w:autoSpaceDN w:val="0"/>
        <w:adjustRightInd w:val="0"/>
        <w:spacing w:after="0" w:line="240" w:lineRule="auto"/>
        <w:ind w:left="2160" w:firstLine="720"/>
        <w:rPr>
          <w:rFonts w:ascii="Arial" w:hAnsi="Arial" w:cs="Arial"/>
          <w:kern w:val="0"/>
          <w:sz w:val="20"/>
          <w:szCs w:val="20"/>
          <w:lang w:val="en-US"/>
        </w:rPr>
      </w:pPr>
      <w:r w:rsidRPr="00152A85">
        <w:rPr>
          <w:rFonts w:ascii="Arial" w:hAnsi="Arial" w:cs="Arial"/>
          <w:kern w:val="0"/>
          <w:sz w:val="20"/>
          <w:szCs w:val="20"/>
          <w:lang w:val="en-US"/>
        </w:rPr>
        <w:t>WEEE Directive 2012/19/EU (L197/38)</w:t>
      </w:r>
    </w:p>
    <w:p w14:paraId="26B6A36A"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 xml:space="preserve">Saltwater for coastal regions: </w:t>
      </w:r>
      <w:r w:rsidRPr="00152A85">
        <w:rPr>
          <w:rFonts w:ascii="Arial" w:hAnsi="Arial" w:cs="Arial"/>
          <w:kern w:val="0"/>
          <w:sz w:val="20"/>
          <w:szCs w:val="20"/>
          <w:lang w:val="en-US"/>
        </w:rPr>
        <w:tab/>
        <w:t>Yes, according to EN IEC 60068-2-52:2018 testing method: 1</w:t>
      </w:r>
    </w:p>
    <w:p w14:paraId="47A7D407"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Testing duration 28 days by 40°C with 93% humidity and</w:t>
      </w:r>
    </w:p>
    <w:p w14:paraId="0C7DE511"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5% salt concentration</w:t>
      </w:r>
    </w:p>
    <w:p w14:paraId="54C96C74"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IK10 impact resistance:</w:t>
      </w:r>
      <w:r w:rsidRPr="00152A85">
        <w:rPr>
          <w:rFonts w:ascii="Arial" w:hAnsi="Arial" w:cs="Arial"/>
          <w:kern w:val="0"/>
          <w:sz w:val="20"/>
          <w:szCs w:val="20"/>
          <w:lang w:val="en-US"/>
        </w:rPr>
        <w:tab/>
      </w:r>
      <w:r w:rsidRPr="00152A85">
        <w:rPr>
          <w:rFonts w:ascii="Arial" w:hAnsi="Arial" w:cs="Arial"/>
          <w:kern w:val="0"/>
          <w:sz w:val="20"/>
          <w:szCs w:val="20"/>
          <w:lang w:val="en-US"/>
        </w:rPr>
        <w:tab/>
        <w:t>Yes, according to EN 62262:2002 + A1:2021</w:t>
      </w:r>
    </w:p>
    <w:p w14:paraId="4E528F95" w14:textId="77777777" w:rsid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Stress: 20 J = 5 kg from 40 cm height</w:t>
      </w:r>
    </w:p>
    <w:p w14:paraId="3465F88E" w14:textId="538B0D2B" w:rsidR="00CA748B" w:rsidRDefault="00CA748B" w:rsidP="00152A85">
      <w:pPr>
        <w:widowControl w:val="0"/>
        <w:autoSpaceDE w:val="0"/>
        <w:autoSpaceDN w:val="0"/>
        <w:adjustRightInd w:val="0"/>
        <w:spacing w:after="0" w:line="240" w:lineRule="auto"/>
        <w:rPr>
          <w:rFonts w:ascii="Arial" w:hAnsi="Arial" w:cs="Arial"/>
          <w:kern w:val="0"/>
          <w:sz w:val="20"/>
          <w:szCs w:val="20"/>
          <w:lang w:val="en-US"/>
        </w:rPr>
      </w:pPr>
      <w:r>
        <w:rPr>
          <w:rFonts w:ascii="Arial" w:hAnsi="Arial" w:cs="Arial"/>
          <w:kern w:val="0"/>
          <w:sz w:val="20"/>
          <w:szCs w:val="20"/>
          <w:lang w:val="en-US"/>
        </w:rPr>
        <w:tab/>
      </w:r>
      <w:r>
        <w:rPr>
          <w:rFonts w:ascii="Arial" w:hAnsi="Arial" w:cs="Arial"/>
          <w:kern w:val="0"/>
          <w:sz w:val="20"/>
          <w:szCs w:val="20"/>
          <w:lang w:val="en-US"/>
        </w:rPr>
        <w:tab/>
      </w:r>
      <w:r>
        <w:rPr>
          <w:rFonts w:ascii="Arial" w:hAnsi="Arial" w:cs="Arial"/>
          <w:kern w:val="0"/>
          <w:sz w:val="20"/>
          <w:szCs w:val="20"/>
          <w:lang w:val="en-US"/>
        </w:rPr>
        <w:tab/>
      </w:r>
      <w:r>
        <w:rPr>
          <w:rFonts w:ascii="Arial" w:hAnsi="Arial" w:cs="Arial"/>
          <w:kern w:val="0"/>
          <w:sz w:val="20"/>
          <w:szCs w:val="20"/>
          <w:lang w:val="en-US"/>
        </w:rPr>
        <w:tab/>
        <w:t>(</w:t>
      </w:r>
      <w:r w:rsidRPr="00CA748B">
        <w:rPr>
          <w:rFonts w:ascii="Arial" w:hAnsi="Arial" w:cs="Arial"/>
          <w:kern w:val="0"/>
          <w:sz w:val="20"/>
          <w:szCs w:val="20"/>
          <w:lang w:val="en-US"/>
        </w:rPr>
        <w:t>applies only to the version with in-ground installation channel “IF”</w:t>
      </w:r>
      <w:r>
        <w:rPr>
          <w:rFonts w:ascii="Arial" w:hAnsi="Arial" w:cs="Arial"/>
          <w:kern w:val="0"/>
          <w:sz w:val="20"/>
          <w:szCs w:val="20"/>
          <w:lang w:val="en-US"/>
        </w:rPr>
        <w:t>)</w:t>
      </w:r>
    </w:p>
    <w:p w14:paraId="6A282F80" w14:textId="747CD4FE" w:rsidR="00860C31" w:rsidRPr="00CA748B" w:rsidRDefault="00860C31" w:rsidP="00860C31">
      <w:pPr>
        <w:widowControl w:val="0"/>
        <w:autoSpaceDE w:val="0"/>
        <w:autoSpaceDN w:val="0"/>
        <w:adjustRightInd w:val="0"/>
        <w:spacing w:after="0" w:line="240" w:lineRule="auto"/>
        <w:ind w:left="2832" w:hanging="2832"/>
        <w:rPr>
          <w:rFonts w:ascii="Arial" w:hAnsi="Arial" w:cs="Arial"/>
          <w:kern w:val="0"/>
          <w:sz w:val="20"/>
          <w:szCs w:val="20"/>
          <w:lang w:val="en-US"/>
        </w:rPr>
      </w:pPr>
      <w:r>
        <w:rPr>
          <w:rFonts w:ascii="Arial" w:hAnsi="Arial" w:cs="Arial"/>
          <w:kern w:val="0"/>
          <w:sz w:val="20"/>
          <w:szCs w:val="20"/>
          <w:lang w:val="en-US"/>
        </w:rPr>
        <w:t>IK08 impact resistance:</w:t>
      </w:r>
      <w:r>
        <w:rPr>
          <w:rFonts w:ascii="Arial" w:hAnsi="Arial" w:cs="Arial"/>
          <w:kern w:val="0"/>
          <w:sz w:val="20"/>
          <w:szCs w:val="20"/>
          <w:lang w:val="en-US"/>
        </w:rPr>
        <w:tab/>
      </w:r>
      <w:r w:rsidRPr="00860C31">
        <w:rPr>
          <w:rFonts w:ascii="Arial" w:hAnsi="Arial" w:cs="Arial"/>
          <w:kern w:val="0"/>
          <w:sz w:val="20"/>
          <w:szCs w:val="20"/>
          <w:lang w:val="en-US"/>
        </w:rPr>
        <w:t>Yes, according to EN 62262:2002 + A1:2021</w:t>
      </w:r>
      <w:r w:rsidRPr="00860C31">
        <w:rPr>
          <w:rFonts w:ascii="Arial" w:hAnsi="Arial" w:cs="Arial"/>
          <w:kern w:val="0"/>
          <w:sz w:val="20"/>
          <w:szCs w:val="20"/>
          <w:lang w:val="en-US"/>
        </w:rPr>
        <w:br/>
        <w:t>Impact energy: 20 J = 5 kg dropped from a height of 40 cm</w:t>
      </w:r>
    </w:p>
    <w:p w14:paraId="505B211E"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 xml:space="preserve">Static load for drive-over </w:t>
      </w:r>
    </w:p>
    <w:p w14:paraId="53125B82"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 xml:space="preserve">and walk-over: </w:t>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Yes, according to EN 60598-2-13: 2006 + A11: 2021</w:t>
      </w:r>
    </w:p>
    <w:p w14:paraId="024D5B61"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IP67:</w:t>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Yes, testing requirements: 30 min. long, 1 meter under water</w:t>
      </w:r>
    </w:p>
    <w:p w14:paraId="6CB740D9"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ETL:</w:t>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Yes, according to ATM report</w:t>
      </w:r>
    </w:p>
    <w:p w14:paraId="4D3FAFE8" w14:textId="77777777" w:rsidR="00152A85" w:rsidRPr="004B4D36" w:rsidRDefault="00152A85" w:rsidP="00152A85">
      <w:pPr>
        <w:widowControl w:val="0"/>
        <w:autoSpaceDE w:val="0"/>
        <w:autoSpaceDN w:val="0"/>
        <w:adjustRightInd w:val="0"/>
        <w:spacing w:after="0" w:line="240" w:lineRule="auto"/>
        <w:ind w:left="2160" w:firstLine="720"/>
        <w:rPr>
          <w:rFonts w:ascii="Arial" w:hAnsi="Arial" w:cs="Arial"/>
          <w:kern w:val="0"/>
          <w:sz w:val="20"/>
          <w:szCs w:val="20"/>
          <w:lang w:val="it-IT"/>
        </w:rPr>
      </w:pPr>
      <w:r w:rsidRPr="004B4D36">
        <w:rPr>
          <w:rFonts w:ascii="Arial" w:hAnsi="Arial" w:cs="Arial"/>
          <w:kern w:val="0"/>
          <w:sz w:val="20"/>
          <w:szCs w:val="20"/>
          <w:lang w:val="it-IT"/>
        </w:rPr>
        <w:t xml:space="preserve">UL2108:2015 Ed.2+R:27Sep2024; </w:t>
      </w:r>
    </w:p>
    <w:p w14:paraId="49F6B912" w14:textId="28198EE0" w:rsidR="00152A85" w:rsidRPr="004B4D36" w:rsidRDefault="00152A85" w:rsidP="00C20F16">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t>CSA C22.2#250.0:2021 Ed.5+U1;U2</w:t>
      </w:r>
    </w:p>
    <w:p w14:paraId="1926C008"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 xml:space="preserve">CB-Report: </w:t>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Yes, according to IEC 60598-2-1:2020; IEC 60598-1:2020</w:t>
      </w:r>
    </w:p>
    <w:p w14:paraId="7EA1BA3C"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proofErr w:type="spellStart"/>
      <w:r w:rsidRPr="00152A85">
        <w:rPr>
          <w:rFonts w:ascii="Arial" w:hAnsi="Arial" w:cs="Arial"/>
          <w:kern w:val="0"/>
          <w:sz w:val="20"/>
          <w:szCs w:val="20"/>
          <w:lang w:val="en-US"/>
        </w:rPr>
        <w:t>DarkSky</w:t>
      </w:r>
      <w:proofErr w:type="spellEnd"/>
      <w:r w:rsidRPr="00152A85">
        <w:rPr>
          <w:rFonts w:ascii="Arial" w:hAnsi="Arial" w:cs="Arial"/>
          <w:kern w:val="0"/>
          <w:sz w:val="20"/>
          <w:szCs w:val="20"/>
          <w:lang w:val="en-US"/>
        </w:rPr>
        <w:t>:</w:t>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 xml:space="preserve">Yes, according to </w:t>
      </w:r>
      <w:proofErr w:type="spellStart"/>
      <w:r w:rsidRPr="00152A85">
        <w:rPr>
          <w:rFonts w:ascii="Arial" w:hAnsi="Arial" w:cs="Arial"/>
          <w:kern w:val="0"/>
          <w:sz w:val="20"/>
          <w:szCs w:val="20"/>
          <w:lang w:val="en-US"/>
        </w:rPr>
        <w:t>DarkSky</w:t>
      </w:r>
      <w:proofErr w:type="spellEnd"/>
      <w:r w:rsidRPr="00152A85">
        <w:rPr>
          <w:rFonts w:ascii="Arial" w:hAnsi="Arial" w:cs="Arial"/>
          <w:kern w:val="0"/>
          <w:sz w:val="20"/>
          <w:szCs w:val="20"/>
          <w:lang w:val="en-US"/>
        </w:rPr>
        <w:t xml:space="preserve"> Association regulations</w:t>
      </w:r>
    </w:p>
    <w:p w14:paraId="4E9826EB" w14:textId="3116E5B4"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Light engine up to max. 3000 K</w:t>
      </w:r>
    </w:p>
    <w:p w14:paraId="3E19F11E" w14:textId="77777777"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Additional glare control accessory</w:t>
      </w:r>
    </w:p>
    <w:p w14:paraId="0443ED62" w14:textId="5D619B74" w:rsidR="00152A85" w:rsidRPr="00152A85" w:rsidRDefault="00152A85" w:rsidP="00152A85">
      <w:pPr>
        <w:widowControl w:val="0"/>
        <w:autoSpaceDE w:val="0"/>
        <w:autoSpaceDN w:val="0"/>
        <w:adjustRightInd w:val="0"/>
        <w:spacing w:after="0" w:line="240" w:lineRule="auto"/>
        <w:rPr>
          <w:rFonts w:ascii="Arial" w:hAnsi="Arial" w:cs="Arial"/>
          <w:kern w:val="0"/>
          <w:sz w:val="20"/>
          <w:szCs w:val="20"/>
          <w:lang w:val="en-US"/>
        </w:rPr>
      </w:pPr>
      <w:r w:rsidRPr="00152A85">
        <w:rPr>
          <w:rFonts w:ascii="Arial" w:hAnsi="Arial" w:cs="Arial"/>
          <w:kern w:val="0"/>
          <w:sz w:val="20"/>
          <w:szCs w:val="20"/>
          <w:lang w:val="en-US"/>
        </w:rPr>
        <w:t xml:space="preserve">UV resistance </w:t>
      </w:r>
      <w:r w:rsidRPr="00152A85">
        <w:rPr>
          <w:rFonts w:ascii="Arial" w:hAnsi="Arial" w:cs="Arial"/>
          <w:kern w:val="0"/>
          <w:sz w:val="20"/>
          <w:szCs w:val="20"/>
          <w:lang w:val="en-US"/>
        </w:rPr>
        <w:tab/>
      </w:r>
      <w:r w:rsidRPr="00152A85">
        <w:rPr>
          <w:rFonts w:ascii="Arial" w:hAnsi="Arial" w:cs="Arial"/>
          <w:kern w:val="0"/>
          <w:sz w:val="20"/>
          <w:szCs w:val="20"/>
          <w:lang w:val="en-US"/>
        </w:rPr>
        <w:tab/>
      </w:r>
      <w:r w:rsidRPr="00152A85">
        <w:rPr>
          <w:rFonts w:ascii="Arial" w:hAnsi="Arial" w:cs="Arial"/>
          <w:kern w:val="0"/>
          <w:sz w:val="20"/>
          <w:szCs w:val="20"/>
          <w:lang w:val="en-US"/>
        </w:rPr>
        <w:tab/>
        <w:t>Yes, according DIN ISO 4892-2</w:t>
      </w:r>
    </w:p>
    <w:p w14:paraId="3CF68824" w14:textId="77777777" w:rsidR="00152A85" w:rsidRPr="00152A85" w:rsidRDefault="00152A85" w:rsidP="00152A85">
      <w:pPr>
        <w:widowControl w:val="0"/>
        <w:autoSpaceDE w:val="0"/>
        <w:autoSpaceDN w:val="0"/>
        <w:adjustRightInd w:val="0"/>
        <w:spacing w:after="0" w:line="240" w:lineRule="auto"/>
        <w:ind w:left="2880"/>
        <w:rPr>
          <w:rFonts w:ascii="Arial" w:hAnsi="Arial" w:cs="Arial"/>
          <w:kern w:val="0"/>
          <w:sz w:val="20"/>
          <w:szCs w:val="20"/>
          <w:lang w:val="en-US"/>
        </w:rPr>
      </w:pPr>
      <w:r w:rsidRPr="00152A85">
        <w:rPr>
          <w:rFonts w:ascii="Arial" w:hAnsi="Arial" w:cs="Arial"/>
          <w:kern w:val="0"/>
          <w:sz w:val="20"/>
          <w:szCs w:val="20"/>
          <w:lang w:val="en-US"/>
        </w:rPr>
        <w:t>Testing conditions: doses of UV-A and UV-B radiation equivalent to ten years of direct sunlight exposure</w:t>
      </w:r>
    </w:p>
    <w:p w14:paraId="58D1A81D" w14:textId="77777777" w:rsidR="00152A85" w:rsidRPr="004B4D36" w:rsidRDefault="00152A85" w:rsidP="00152A85">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p w14:paraId="7E2B54F8" w14:textId="77777777" w:rsidR="00152A85" w:rsidRPr="004B4D36" w:rsidRDefault="00152A85" w:rsidP="00152A85">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p w14:paraId="05F79E15" w14:textId="77777777" w:rsidR="00BE6DC3" w:rsidRPr="00410D31" w:rsidRDefault="00BE6DC3">
      <w:pPr>
        <w:rPr>
          <w:rFonts w:ascii="Arial" w:hAnsi="Arial" w:cs="Arial"/>
        </w:rPr>
      </w:pPr>
    </w:p>
    <w:sectPr w:rsidR="00BE6DC3" w:rsidRPr="00410D3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D6540"/>
    <w:multiLevelType w:val="multilevel"/>
    <w:tmpl w:val="16ECD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4C556F"/>
    <w:multiLevelType w:val="multilevel"/>
    <w:tmpl w:val="C8DAE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CB4AE3"/>
    <w:multiLevelType w:val="hybridMultilevel"/>
    <w:tmpl w:val="588C7E6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F31807"/>
    <w:multiLevelType w:val="multilevel"/>
    <w:tmpl w:val="088AF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076CD7"/>
    <w:multiLevelType w:val="multilevel"/>
    <w:tmpl w:val="A7060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EE03F77"/>
    <w:multiLevelType w:val="multilevel"/>
    <w:tmpl w:val="F0685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353474"/>
    <w:multiLevelType w:val="multilevel"/>
    <w:tmpl w:val="000AD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1C1B35"/>
    <w:multiLevelType w:val="hybridMultilevel"/>
    <w:tmpl w:val="A664B27A"/>
    <w:lvl w:ilvl="0" w:tplc="83F25A1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460F0C"/>
    <w:multiLevelType w:val="multilevel"/>
    <w:tmpl w:val="74AA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601222"/>
    <w:multiLevelType w:val="hybridMultilevel"/>
    <w:tmpl w:val="A9327FB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7398474">
    <w:abstractNumId w:val="5"/>
  </w:num>
  <w:num w:numId="2" w16cid:durableId="1298989835">
    <w:abstractNumId w:val="3"/>
  </w:num>
  <w:num w:numId="3" w16cid:durableId="1113671747">
    <w:abstractNumId w:val="1"/>
  </w:num>
  <w:num w:numId="4" w16cid:durableId="29960634">
    <w:abstractNumId w:val="7"/>
  </w:num>
  <w:num w:numId="5" w16cid:durableId="1040328188">
    <w:abstractNumId w:val="9"/>
  </w:num>
  <w:num w:numId="6" w16cid:durableId="614017914">
    <w:abstractNumId w:val="2"/>
  </w:num>
  <w:num w:numId="7" w16cid:durableId="1774544810">
    <w:abstractNumId w:val="0"/>
  </w:num>
  <w:num w:numId="8" w16cid:durableId="595603155">
    <w:abstractNumId w:val="4"/>
  </w:num>
  <w:num w:numId="9" w16cid:durableId="1826779505">
    <w:abstractNumId w:val="8"/>
  </w:num>
  <w:num w:numId="10" w16cid:durableId="21136266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457"/>
    <w:rsid w:val="00015457"/>
    <w:rsid w:val="000C339D"/>
    <w:rsid w:val="000C4B3E"/>
    <w:rsid w:val="00126C1A"/>
    <w:rsid w:val="00152A85"/>
    <w:rsid w:val="001B755A"/>
    <w:rsid w:val="001C0D4C"/>
    <w:rsid w:val="001F34FA"/>
    <w:rsid w:val="002E071E"/>
    <w:rsid w:val="002E63D0"/>
    <w:rsid w:val="002F1BE5"/>
    <w:rsid w:val="002F7E8B"/>
    <w:rsid w:val="0031543A"/>
    <w:rsid w:val="00334359"/>
    <w:rsid w:val="003524AB"/>
    <w:rsid w:val="00353110"/>
    <w:rsid w:val="00356D58"/>
    <w:rsid w:val="00410D31"/>
    <w:rsid w:val="004958D9"/>
    <w:rsid w:val="004A6DC4"/>
    <w:rsid w:val="004E2EDB"/>
    <w:rsid w:val="005B5FA4"/>
    <w:rsid w:val="005D0DF0"/>
    <w:rsid w:val="005F6576"/>
    <w:rsid w:val="00646A2B"/>
    <w:rsid w:val="006724FB"/>
    <w:rsid w:val="008043AC"/>
    <w:rsid w:val="00824F63"/>
    <w:rsid w:val="00860C31"/>
    <w:rsid w:val="008B1517"/>
    <w:rsid w:val="008E4AD4"/>
    <w:rsid w:val="00920AF2"/>
    <w:rsid w:val="00947726"/>
    <w:rsid w:val="00984FB6"/>
    <w:rsid w:val="00AB1878"/>
    <w:rsid w:val="00B214D1"/>
    <w:rsid w:val="00B3656B"/>
    <w:rsid w:val="00B424A2"/>
    <w:rsid w:val="00B53E29"/>
    <w:rsid w:val="00B7053C"/>
    <w:rsid w:val="00BC3B96"/>
    <w:rsid w:val="00BC69EB"/>
    <w:rsid w:val="00BE6DC3"/>
    <w:rsid w:val="00BF67E1"/>
    <w:rsid w:val="00C02E3E"/>
    <w:rsid w:val="00C20F16"/>
    <w:rsid w:val="00C42057"/>
    <w:rsid w:val="00C70C19"/>
    <w:rsid w:val="00CA748B"/>
    <w:rsid w:val="00CD2815"/>
    <w:rsid w:val="00CD37A9"/>
    <w:rsid w:val="00D04558"/>
    <w:rsid w:val="00D30E49"/>
    <w:rsid w:val="00DE64E7"/>
    <w:rsid w:val="00DF6025"/>
    <w:rsid w:val="00E37592"/>
    <w:rsid w:val="00E7608C"/>
    <w:rsid w:val="00E76618"/>
    <w:rsid w:val="00F207E9"/>
    <w:rsid w:val="00F35ABF"/>
    <w:rsid w:val="00F47215"/>
    <w:rsid w:val="00FA15C8"/>
    <w:rsid w:val="00FD0F6F"/>
    <w:rsid w:val="00FE3B20"/>
    <w:rsid w:val="78739D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9AEA2"/>
  <w15:chartTrackingRefBased/>
  <w15:docId w15:val="{2E480C10-3F92-4134-BC82-965AA56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154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154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1545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1545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1545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1545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1545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1545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1545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1545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1545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1545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1545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1545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1545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1545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1545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15457"/>
    <w:rPr>
      <w:rFonts w:eastAsiaTheme="majorEastAsia" w:cstheme="majorBidi"/>
      <w:color w:val="272727" w:themeColor="text1" w:themeTint="D8"/>
    </w:rPr>
  </w:style>
  <w:style w:type="paragraph" w:styleId="Titel">
    <w:name w:val="Title"/>
    <w:basedOn w:val="Standard"/>
    <w:next w:val="Standard"/>
    <w:link w:val="TitelZchn"/>
    <w:uiPriority w:val="10"/>
    <w:qFormat/>
    <w:rsid w:val="000154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1545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1545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1545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1545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15457"/>
    <w:rPr>
      <w:i/>
      <w:iCs/>
      <w:color w:val="404040" w:themeColor="text1" w:themeTint="BF"/>
    </w:rPr>
  </w:style>
  <w:style w:type="paragraph" w:styleId="Listenabsatz">
    <w:name w:val="List Paragraph"/>
    <w:basedOn w:val="Standard"/>
    <w:uiPriority w:val="34"/>
    <w:qFormat/>
    <w:rsid w:val="00015457"/>
    <w:pPr>
      <w:ind w:left="720"/>
      <w:contextualSpacing/>
    </w:pPr>
  </w:style>
  <w:style w:type="character" w:styleId="IntensiveHervorhebung">
    <w:name w:val="Intense Emphasis"/>
    <w:basedOn w:val="Absatz-Standardschriftart"/>
    <w:uiPriority w:val="21"/>
    <w:qFormat/>
    <w:rsid w:val="00015457"/>
    <w:rPr>
      <w:i/>
      <w:iCs/>
      <w:color w:val="0F4761" w:themeColor="accent1" w:themeShade="BF"/>
    </w:rPr>
  </w:style>
  <w:style w:type="paragraph" w:styleId="IntensivesZitat">
    <w:name w:val="Intense Quote"/>
    <w:basedOn w:val="Standard"/>
    <w:next w:val="Standard"/>
    <w:link w:val="IntensivesZitatZchn"/>
    <w:uiPriority w:val="30"/>
    <w:qFormat/>
    <w:rsid w:val="000154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15457"/>
    <w:rPr>
      <w:i/>
      <w:iCs/>
      <w:color w:val="0F4761" w:themeColor="accent1" w:themeShade="BF"/>
    </w:rPr>
  </w:style>
  <w:style w:type="character" w:styleId="IntensiverVerweis">
    <w:name w:val="Intense Reference"/>
    <w:basedOn w:val="Absatz-Standardschriftart"/>
    <w:uiPriority w:val="32"/>
    <w:qFormat/>
    <w:rsid w:val="00015457"/>
    <w:rPr>
      <w:b/>
      <w:bCs/>
      <w:smallCaps/>
      <w:color w:val="0F4761" w:themeColor="accent1" w:themeShade="BF"/>
      <w:spacing w:val="5"/>
    </w:rPr>
  </w:style>
  <w:style w:type="character" w:styleId="Kommentarzeichen">
    <w:name w:val="annotation reference"/>
    <w:basedOn w:val="Absatz-Standardschriftart"/>
    <w:uiPriority w:val="99"/>
    <w:semiHidden/>
    <w:unhideWhenUsed/>
    <w:rsid w:val="00353110"/>
    <w:rPr>
      <w:sz w:val="16"/>
      <w:szCs w:val="16"/>
    </w:rPr>
  </w:style>
  <w:style w:type="paragraph" w:styleId="Kommentartext">
    <w:name w:val="annotation text"/>
    <w:basedOn w:val="Standard"/>
    <w:link w:val="KommentartextZchn"/>
    <w:uiPriority w:val="99"/>
    <w:unhideWhenUsed/>
    <w:rsid w:val="00353110"/>
    <w:pPr>
      <w:spacing w:line="240" w:lineRule="auto"/>
    </w:pPr>
    <w:rPr>
      <w:sz w:val="20"/>
      <w:szCs w:val="20"/>
    </w:rPr>
  </w:style>
  <w:style w:type="character" w:customStyle="1" w:styleId="KommentartextZchn">
    <w:name w:val="Kommentartext Zchn"/>
    <w:basedOn w:val="Absatz-Standardschriftart"/>
    <w:link w:val="Kommentartext"/>
    <w:uiPriority w:val="99"/>
    <w:rsid w:val="00353110"/>
    <w:rPr>
      <w:sz w:val="20"/>
      <w:szCs w:val="20"/>
    </w:rPr>
  </w:style>
  <w:style w:type="paragraph" w:styleId="Kommentarthema">
    <w:name w:val="annotation subject"/>
    <w:basedOn w:val="Kommentartext"/>
    <w:next w:val="Kommentartext"/>
    <w:link w:val="KommentarthemaZchn"/>
    <w:uiPriority w:val="99"/>
    <w:semiHidden/>
    <w:unhideWhenUsed/>
    <w:rsid w:val="00353110"/>
    <w:rPr>
      <w:b/>
      <w:bCs/>
    </w:rPr>
  </w:style>
  <w:style w:type="character" w:customStyle="1" w:styleId="KommentarthemaZchn">
    <w:name w:val="Kommentarthema Zchn"/>
    <w:basedOn w:val="KommentartextZchn"/>
    <w:link w:val="Kommentarthema"/>
    <w:uiPriority w:val="99"/>
    <w:semiHidden/>
    <w:rsid w:val="003531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70F0F-079C-448F-9583-9DD9CC71E007}">
  <ds:schemaRefs>
    <ds:schemaRef ds:uri="http://schemas.microsoft.com/sharepoint/v3/contenttype/forms"/>
  </ds:schemaRefs>
</ds:datastoreItem>
</file>

<file path=customXml/itemProps2.xml><?xml version="1.0" encoding="utf-8"?>
<ds:datastoreItem xmlns:ds="http://schemas.openxmlformats.org/officeDocument/2006/customXml" ds:itemID="{4375BAE9-6AEA-4456-8B97-D4F547B0D18F}">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customXml/itemProps3.xml><?xml version="1.0" encoding="utf-8"?>
<ds:datastoreItem xmlns:ds="http://schemas.openxmlformats.org/officeDocument/2006/customXml" ds:itemID="{E3A94146-6684-45F3-B4B9-CAB60B221DBC}"/>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4404</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52</cp:revision>
  <dcterms:created xsi:type="dcterms:W3CDTF">2026-04-17T06:24:00Z</dcterms:created>
  <dcterms:modified xsi:type="dcterms:W3CDTF">2026-06-03T10:14:00Z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ies>
</file>